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C476" w14:textId="77777777" w:rsidR="00BA10ED" w:rsidRDefault="00B0359C" w:rsidP="007A1A00">
      <w:pPr>
        <w:pStyle w:val="VDate"/>
        <w:spacing w:line="276" w:lineRule="auto"/>
      </w:pPr>
      <w:r>
        <w:rPr>
          <w:noProof/>
        </w:rPr>
        <mc:AlternateContent>
          <mc:Choice Requires="wps">
            <w:drawing>
              <wp:anchor distT="0" distB="0" distL="114300" distR="114300" simplePos="0" relativeHeight="251659264" behindDoc="0" locked="0" layoutInCell="1" allowOverlap="1" wp14:anchorId="2CCC6380" wp14:editId="5400B73F">
                <wp:simplePos x="0" y="0"/>
                <wp:positionH relativeFrom="column">
                  <wp:posOffset>-817245</wp:posOffset>
                </wp:positionH>
                <wp:positionV relativeFrom="page">
                  <wp:posOffset>400685</wp:posOffset>
                </wp:positionV>
                <wp:extent cx="5910580" cy="537210"/>
                <wp:effectExtent l="0" t="0" r="7620" b="8890"/>
                <wp:wrapNone/>
                <wp:docPr id="459658493" name="Zone de texte 1"/>
                <wp:cNvGraphicFramePr/>
                <a:graphic xmlns:a="http://schemas.openxmlformats.org/drawingml/2006/main">
                  <a:graphicData uri="http://schemas.microsoft.com/office/word/2010/wordprocessingShape">
                    <wps:wsp>
                      <wps:cNvSpPr txBox="1"/>
                      <wps:spPr>
                        <a:xfrm>
                          <a:off x="0" y="0"/>
                          <a:ext cx="5910580" cy="537210"/>
                        </a:xfrm>
                        <a:prstGeom prst="rect">
                          <a:avLst/>
                        </a:prstGeom>
                        <a:noFill/>
                        <a:ln w="6350">
                          <a:noFill/>
                        </a:ln>
                      </wps:spPr>
                      <wps:txbx>
                        <w:txbxContent>
                          <w:tbl>
                            <w:tblPr>
                              <w:tblStyle w:val="Grilledutableau"/>
                              <w:tblW w:w="1134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990"/>
                              <w:gridCol w:w="6351"/>
                            </w:tblGrid>
                            <w:tr w:rsidR="00003E1C" w14:paraId="6FD9F6BF" w14:textId="77777777" w:rsidTr="008E3FA2">
                              <w:trPr>
                                <w:cantSplit/>
                                <w:trHeight w:hRule="exact" w:val="510"/>
                              </w:trPr>
                              <w:tc>
                                <w:tcPr>
                                  <w:tcW w:w="4990" w:type="dxa"/>
                                  <w:shd w:val="clear" w:color="auto" w:fill="004489" w:themeFill="text2"/>
                                  <w:vAlign w:val="center"/>
                                </w:tcPr>
                                <w:p w14:paraId="3C3F3B74" w14:textId="77777777" w:rsidR="00003E1C" w:rsidRPr="00E05452" w:rsidRDefault="00003E1C" w:rsidP="008E3FA2">
                                  <w:pPr>
                                    <w:pStyle w:val="En-tte"/>
                                    <w:ind w:left="624"/>
                                    <w:rPr>
                                      <w:rFonts w:ascii="Vinci Sans Expanded Medium" w:hAnsi="Vinci Sans Expanded Medium"/>
                                      <w:color w:val="FFFFFF" w:themeColor="background1"/>
                                      <w:sz w:val="28"/>
                                      <w:szCs w:val="28"/>
                                    </w:rPr>
                                  </w:pPr>
                                  <w:r w:rsidRPr="00E05452">
                                    <w:rPr>
                                      <w:rFonts w:ascii="Vinci Sans Expanded Medium" w:hAnsi="Vinci Sans Expanded Medium"/>
                                      <w:color w:val="FFFFFF" w:themeColor="background1"/>
                                      <w:sz w:val="28"/>
                                      <w:szCs w:val="28"/>
                                    </w:rPr>
                                    <w:t>COMMUNIQUÉ DE PRESSE</w:t>
                                  </w:r>
                                </w:p>
                              </w:tc>
                              <w:tc>
                                <w:tcPr>
                                  <w:tcW w:w="6351" w:type="dxa"/>
                                  <w:vAlign w:val="center"/>
                                </w:tcPr>
                                <w:p w14:paraId="60D89506" w14:textId="77777777" w:rsidR="00003E1C" w:rsidRDefault="00003E1C" w:rsidP="008E3FA2">
                                  <w:pPr>
                                    <w:pStyle w:val="En-tte"/>
                                    <w:jc w:val="right"/>
                                  </w:pPr>
                                </w:p>
                              </w:tc>
                            </w:tr>
                          </w:tbl>
                          <w:p w14:paraId="17DBE8FD" w14:textId="77777777" w:rsidR="00003E1C" w:rsidRDefault="00003E1C" w:rsidP="00003E1C"/>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CC6380" id="_x0000_t202" coordsize="21600,21600" o:spt="202" path="m,l,21600r21600,l21600,xe">
                <v:stroke joinstyle="miter"/>
                <v:path gradientshapeok="t" o:connecttype="rect"/>
              </v:shapetype>
              <v:shape id="Zone de texte 1" o:spid="_x0000_s1026" type="#_x0000_t202" style="position:absolute;left:0;text-align:left;margin-left:-64.35pt;margin-top:31.55pt;width:465.4pt;height:42.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" filled="f" stroked="f" strokeweight=".5pt">
                <v:textbox style="mso-fit-shape-to-text:t" inset="0,0,0,0">
                  <w:txbxContent>
                    <w:tbl>
                      <w:tblPr>
                        <w:tblStyle w:val="Grilledutableau"/>
                        <w:tblW w:w="1134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990"/>
                        <w:gridCol w:w="6351"/>
                      </w:tblGrid>
                      <w:tr w:rsidR="00003E1C" w14:paraId="6FD9F6BF" w14:textId="77777777" w:rsidTr="008E3FA2">
                        <w:trPr>
                          <w:cantSplit/>
                          <w:trHeight w:hRule="exact" w:val="510"/>
                        </w:trPr>
                        <w:tc>
                          <w:tcPr>
                            <w:tcW w:w="4990" w:type="dxa"/>
                            <w:shd w:val="clear" w:color="auto" w:fill="004489" w:themeFill="text2"/>
                            <w:vAlign w:val="center"/>
                          </w:tcPr>
                          <w:p w14:paraId="3C3F3B74" w14:textId="77777777" w:rsidR="00003E1C" w:rsidRPr="00E05452" w:rsidRDefault="00003E1C" w:rsidP="008E3FA2">
                            <w:pPr>
                              <w:pStyle w:val="En-tte"/>
                              <w:ind w:left="624"/>
                              <w:rPr>
                                <w:rFonts w:ascii="Vinci Sans Expanded Medium" w:hAnsi="Vinci Sans Expanded Medium"/>
                                <w:color w:val="FFFFFF" w:themeColor="background1"/>
                                <w:sz w:val="28"/>
                                <w:szCs w:val="28"/>
                              </w:rPr>
                            </w:pPr>
                            <w:r w:rsidRPr="00E05452">
                              <w:rPr>
                                <w:rFonts w:ascii="Vinci Sans Expanded Medium" w:hAnsi="Vinci Sans Expanded Medium"/>
                                <w:color w:val="FFFFFF" w:themeColor="background1"/>
                                <w:sz w:val="28"/>
                                <w:szCs w:val="28"/>
                              </w:rPr>
                              <w:t>COMMUNIQUÉ DE PRESSE</w:t>
                            </w:r>
                          </w:p>
                        </w:tc>
                        <w:tc>
                          <w:tcPr>
                            <w:tcW w:w="6351" w:type="dxa"/>
                            <w:vAlign w:val="center"/>
                          </w:tcPr>
                          <w:p w14:paraId="60D89506" w14:textId="77777777" w:rsidR="00003E1C" w:rsidRDefault="00003E1C" w:rsidP="008E3FA2">
                            <w:pPr>
                              <w:pStyle w:val="En-tte"/>
                              <w:jc w:val="right"/>
                            </w:pPr>
                          </w:p>
                        </w:tc>
                      </w:tr>
                    </w:tbl>
                    <w:p w14:paraId="17DBE8FD" w14:textId="77777777" w:rsidR="00003E1C" w:rsidRDefault="00003E1C" w:rsidP="00003E1C"/>
                  </w:txbxContent>
                </v:textbox>
                <w10:wrap anchory="page"/>
              </v:shape>
            </w:pict>
          </mc:Fallback>
        </mc:AlternateContent>
      </w:r>
    </w:p>
    <w:p w14:paraId="0CE1077E" w14:textId="256FD418" w:rsidR="004022B4" w:rsidRPr="00FF0CE4" w:rsidRDefault="00840982" w:rsidP="007A1A00">
      <w:pPr>
        <w:pStyle w:val="VDate"/>
        <w:spacing w:line="276" w:lineRule="auto"/>
      </w:pPr>
      <w:r w:rsidRPr="00840982">
        <w:t xml:space="preserve">Nanterre, le </w:t>
      </w:r>
      <w:r w:rsidR="00EB1655">
        <w:t>9</w:t>
      </w:r>
      <w:r w:rsidR="006E310E">
        <w:t xml:space="preserve"> avril</w:t>
      </w:r>
      <w:r w:rsidR="00152934">
        <w:t xml:space="preserve"> 2026</w:t>
      </w:r>
    </w:p>
    <w:p w14:paraId="179352CA" w14:textId="389C4669" w:rsidR="00F317CC" w:rsidRPr="00840982" w:rsidRDefault="008A68A8" w:rsidP="00F317CC">
      <w:pPr>
        <w:pStyle w:val="VTitre"/>
        <w:spacing w:line="276" w:lineRule="auto"/>
      </w:pPr>
      <w:r w:rsidRPr="008A68A8">
        <w:t xml:space="preserve">VINCI </w:t>
      </w:r>
      <w:r w:rsidR="00C049EB">
        <w:t xml:space="preserve">remporte </w:t>
      </w:r>
      <w:r w:rsidR="00514BC6">
        <w:t xml:space="preserve">le </w:t>
      </w:r>
      <w:r w:rsidR="00C049EB">
        <w:t>contrat</w:t>
      </w:r>
      <w:r w:rsidR="00935FDF">
        <w:t xml:space="preserve"> </w:t>
      </w:r>
      <w:r w:rsidR="00C049EB">
        <w:t>de</w:t>
      </w:r>
      <w:r w:rsidR="00EC33B4">
        <w:t xml:space="preserve"> modernisation de </w:t>
      </w:r>
      <w:r w:rsidRPr="008A68A8">
        <w:t xml:space="preserve">la </w:t>
      </w:r>
      <w:r w:rsidR="00EC33B4">
        <w:t xml:space="preserve">principale </w:t>
      </w:r>
      <w:r w:rsidRPr="008A68A8">
        <w:t>station de traitement des eaux de Prague</w:t>
      </w:r>
      <w:r>
        <w:t xml:space="preserve"> </w:t>
      </w:r>
    </w:p>
    <w:p w14:paraId="3948D782" w14:textId="5E45FFB7" w:rsidR="00247E7E" w:rsidRDefault="00152934" w:rsidP="00780AF6">
      <w:pPr>
        <w:pStyle w:val="VPuce"/>
        <w:spacing w:line="276" w:lineRule="auto"/>
        <w:ind w:left="794"/>
      </w:pPr>
      <w:r>
        <w:t xml:space="preserve">Réhabilitation lourde d’une </w:t>
      </w:r>
      <w:r w:rsidR="00780AF6">
        <w:t>infrastructure</w:t>
      </w:r>
      <w:r w:rsidR="00EC33B4">
        <w:t xml:space="preserve"> </w:t>
      </w:r>
      <w:r w:rsidR="00780AF6">
        <w:t xml:space="preserve">stratégique </w:t>
      </w:r>
    </w:p>
    <w:p w14:paraId="3A200E2D" w14:textId="7462E101" w:rsidR="00247E7E" w:rsidRPr="00247E7E" w:rsidRDefault="00152934" w:rsidP="00247E7E">
      <w:pPr>
        <w:pStyle w:val="VPuce"/>
        <w:spacing w:line="276" w:lineRule="auto"/>
        <w:ind w:left="794"/>
      </w:pPr>
      <w:r>
        <w:t>C</w:t>
      </w:r>
      <w:r w:rsidR="00247E7E" w:rsidRPr="00247E7E">
        <w:t xml:space="preserve">ontrat </w:t>
      </w:r>
      <w:r>
        <w:t xml:space="preserve">d’un montant total </w:t>
      </w:r>
      <w:r w:rsidR="00247E7E" w:rsidRPr="00247E7E">
        <w:t>de 1</w:t>
      </w:r>
      <w:r w:rsidR="00247E7E">
        <w:t xml:space="preserve">92 </w:t>
      </w:r>
      <w:r w:rsidR="00247E7E" w:rsidRPr="00247E7E">
        <w:t xml:space="preserve">millions d'euros </w:t>
      </w:r>
    </w:p>
    <w:p w14:paraId="7A33B7A5" w14:textId="7ACCAC9C" w:rsidR="00F317CC" w:rsidRDefault="00F317CC" w:rsidP="00247E7E">
      <w:pPr>
        <w:pStyle w:val="VPuce"/>
        <w:numPr>
          <w:ilvl w:val="0"/>
          <w:numId w:val="0"/>
        </w:numPr>
        <w:spacing w:line="276" w:lineRule="auto"/>
        <w:ind w:left="794"/>
      </w:pPr>
    </w:p>
    <w:p w14:paraId="2D193119" w14:textId="77777777" w:rsidR="00F317CC" w:rsidRDefault="00F317CC" w:rsidP="00F317CC">
      <w:pPr>
        <w:spacing w:line="276" w:lineRule="auto"/>
      </w:pPr>
    </w:p>
    <w:p w14:paraId="7DC8BEA0" w14:textId="0D50C8B5" w:rsidR="00247E7E" w:rsidRDefault="00247E7E" w:rsidP="00247E7E">
      <w:pPr>
        <w:spacing w:line="276" w:lineRule="auto"/>
      </w:pPr>
      <w:r>
        <w:t xml:space="preserve">La </w:t>
      </w:r>
      <w:r w:rsidR="00EC33B4" w:rsidRPr="001D5CED">
        <w:t xml:space="preserve">Société de gestion de l’eau de Prague </w:t>
      </w:r>
      <w:r>
        <w:t xml:space="preserve">a attribué </w:t>
      </w:r>
      <w:r w:rsidR="00685E75">
        <w:t xml:space="preserve">le contrat de </w:t>
      </w:r>
      <w:r w:rsidR="00EC33B4">
        <w:t xml:space="preserve">modernisation </w:t>
      </w:r>
      <w:r w:rsidR="00685E75">
        <w:t xml:space="preserve">de la station centrale de traitement des eaux usées de </w:t>
      </w:r>
      <w:r w:rsidR="001626DD">
        <w:t xml:space="preserve">la capitale tchèque </w:t>
      </w:r>
      <w:r>
        <w:t>à un groupement</w:t>
      </w:r>
      <w:r w:rsidR="00C049EB">
        <w:t xml:space="preserve"> d’entreprises</w:t>
      </w:r>
      <w:r w:rsidR="00C049EB">
        <w:rPr>
          <w:rStyle w:val="Appelnotedebasdep"/>
        </w:rPr>
        <w:footnoteReference w:id="1"/>
      </w:r>
      <w:r w:rsidR="00C049EB">
        <w:t xml:space="preserve"> mené par </w:t>
      </w:r>
      <w:r w:rsidR="006B785D">
        <w:t>une</w:t>
      </w:r>
      <w:r w:rsidR="00C049EB">
        <w:t xml:space="preserve"> filiale de </w:t>
      </w:r>
      <w:r w:rsidR="006B785D">
        <w:t>VINCI </w:t>
      </w:r>
      <w:r w:rsidR="00C049EB">
        <w:t>Construction.</w:t>
      </w:r>
      <w:r>
        <w:t xml:space="preserve"> </w:t>
      </w:r>
    </w:p>
    <w:p w14:paraId="3EC29590" w14:textId="77777777" w:rsidR="00247E7E" w:rsidRDefault="00247E7E" w:rsidP="00247E7E">
      <w:pPr>
        <w:spacing w:line="276" w:lineRule="auto"/>
      </w:pPr>
    </w:p>
    <w:p w14:paraId="4225327C" w14:textId="322DD585" w:rsidR="00183B00" w:rsidRDefault="003C1903" w:rsidP="00245335">
      <w:pPr>
        <w:spacing w:line="276" w:lineRule="auto"/>
      </w:pPr>
      <w:r w:rsidRPr="003C1903">
        <w:t>Les travaux, d’un montant total de 192 millions d’euros, débuteront en octobre 2026 pour une durée de 43</w:t>
      </w:r>
      <w:r w:rsidR="00152934">
        <w:t> </w:t>
      </w:r>
      <w:r w:rsidRPr="003C1903">
        <w:t xml:space="preserve">mois. </w:t>
      </w:r>
      <w:r w:rsidR="00AD310F">
        <w:t>Ils</w:t>
      </w:r>
      <w:r w:rsidR="008A68A8" w:rsidRPr="008A68A8">
        <w:t xml:space="preserve"> </w:t>
      </w:r>
      <w:r w:rsidR="00AD310F" w:rsidRPr="008A68A8">
        <w:t>compren</w:t>
      </w:r>
      <w:r w:rsidR="00AD310F">
        <w:t>nent</w:t>
      </w:r>
      <w:r w:rsidR="00AD310F" w:rsidRPr="008A68A8">
        <w:t xml:space="preserve"> </w:t>
      </w:r>
      <w:r w:rsidR="008A68A8" w:rsidRPr="008A68A8">
        <w:t>le démantèlement des équipements existants ainsi que la démolition et la reconstruction de 40 ouvrages</w:t>
      </w:r>
      <w:r w:rsidRPr="003C1903">
        <w:t>. Sur les 20 bassins de décantation, 8 seront reconstruits et 4 seront rénovés. L</w:t>
      </w:r>
      <w:r w:rsidR="008A68A8">
        <w:t xml:space="preserve">’ensemble </w:t>
      </w:r>
      <w:r w:rsidRPr="003C1903">
        <w:t xml:space="preserve">des ouvrages sera </w:t>
      </w:r>
      <w:r w:rsidR="00780AF6" w:rsidRPr="003C1903">
        <w:t>rééquipé</w:t>
      </w:r>
      <w:r w:rsidRPr="003C1903">
        <w:t xml:space="preserve"> avec de nouvelles technologies</w:t>
      </w:r>
      <w:r w:rsidR="00780AF6">
        <w:t xml:space="preserve"> de purification de l’eau</w:t>
      </w:r>
      <w:r w:rsidRPr="003C1903">
        <w:t>.</w:t>
      </w:r>
    </w:p>
    <w:p w14:paraId="06A8C95E" w14:textId="77777777" w:rsidR="003C1903" w:rsidRDefault="003C1903" w:rsidP="00245335">
      <w:pPr>
        <w:spacing w:line="276" w:lineRule="auto"/>
      </w:pPr>
    </w:p>
    <w:p w14:paraId="44F1C0BC" w14:textId="3390E56F" w:rsidR="007C1E29" w:rsidRDefault="008A68A8" w:rsidP="006C55BC">
      <w:pPr>
        <w:spacing w:line="276" w:lineRule="auto"/>
      </w:pPr>
      <w:r>
        <w:t>C</w:t>
      </w:r>
      <w:r w:rsidRPr="008A68A8">
        <w:t xml:space="preserve">ette reconstruction vise à réhabiliter et moderniser </w:t>
      </w:r>
      <w:r w:rsidR="00247E7E">
        <w:t>une infrastructure</w:t>
      </w:r>
      <w:r>
        <w:t xml:space="preserve"> </w:t>
      </w:r>
      <w:r w:rsidR="00780AF6">
        <w:t xml:space="preserve">hydraulique </w:t>
      </w:r>
      <w:r w:rsidRPr="00C049EB">
        <w:t>stratégique</w:t>
      </w:r>
      <w:r w:rsidR="001237C2" w:rsidRPr="00C049EB">
        <w:rPr>
          <w:color w:val="000000" w:themeColor="text1"/>
        </w:rPr>
        <w:t xml:space="preserve">, </w:t>
      </w:r>
      <w:r w:rsidR="00247E7E" w:rsidRPr="00C049EB">
        <w:rPr>
          <w:color w:val="000000" w:themeColor="text1"/>
        </w:rPr>
        <w:t>exploitée depuis plus de 50 ans</w:t>
      </w:r>
      <w:r w:rsidR="007C1E29">
        <w:rPr>
          <w:color w:val="000000" w:themeColor="text1"/>
        </w:rPr>
        <w:t>,</w:t>
      </w:r>
      <w:r w:rsidR="00247E7E" w:rsidRPr="00C049EB">
        <w:rPr>
          <w:color w:val="000000" w:themeColor="text1"/>
        </w:rPr>
        <w:t xml:space="preserve"> afin d’améliorer la qualité du traitem</w:t>
      </w:r>
      <w:r w:rsidR="00247E7E" w:rsidRPr="00AD2300">
        <w:t>ent des eaux usées</w:t>
      </w:r>
      <w:r w:rsidR="004673E1">
        <w:t xml:space="preserve"> </w:t>
      </w:r>
      <w:r w:rsidR="004673E1" w:rsidRPr="004673E1">
        <w:t>et d’optimiser la consommation d’énergie</w:t>
      </w:r>
      <w:r w:rsidR="001237C2">
        <w:t>.</w:t>
      </w:r>
      <w:r w:rsidR="00D00A61">
        <w:t xml:space="preserve"> </w:t>
      </w:r>
    </w:p>
    <w:p w14:paraId="6954AA1F" w14:textId="77777777" w:rsidR="007C1E29" w:rsidRDefault="007C1E29" w:rsidP="006C55BC">
      <w:pPr>
        <w:spacing w:line="276" w:lineRule="auto"/>
      </w:pPr>
    </w:p>
    <w:p w14:paraId="0A30F66C" w14:textId="5839D487" w:rsidR="006C55BC" w:rsidRDefault="00D1559A" w:rsidP="006C55BC">
      <w:pPr>
        <w:spacing w:line="276" w:lineRule="auto"/>
      </w:pPr>
      <w:r w:rsidRPr="00D1559A">
        <w:t xml:space="preserve">Des mesures seront mises en </w:t>
      </w:r>
      <w:r w:rsidR="00780AF6">
        <w:t xml:space="preserve">œuvre </w:t>
      </w:r>
      <w:r w:rsidRPr="00D1559A">
        <w:t xml:space="preserve">pour </w:t>
      </w:r>
      <w:r w:rsidR="008A68A8" w:rsidRPr="008A68A8">
        <w:t>limiter l’impact environnemental du chantier</w:t>
      </w:r>
      <w:r w:rsidR="008A68A8">
        <w:t xml:space="preserve">, </w:t>
      </w:r>
      <w:r w:rsidRPr="00D1559A">
        <w:t xml:space="preserve">notamment </w:t>
      </w:r>
      <w:r w:rsidR="00DD5345">
        <w:t xml:space="preserve">à travers </w:t>
      </w:r>
      <w:r w:rsidRPr="00D1559A">
        <w:t xml:space="preserve">la réutilisation des matériaux sur </w:t>
      </w:r>
      <w:r w:rsidR="008A68A8">
        <w:t>site</w:t>
      </w:r>
      <w:r w:rsidRPr="00D1559A">
        <w:t xml:space="preserve"> ainsi que l’utilisation d’eau de pluie et d’eau recyclée tout au long </w:t>
      </w:r>
      <w:r w:rsidR="008A68A8">
        <w:t>des</w:t>
      </w:r>
      <w:r w:rsidRPr="00D1559A">
        <w:t xml:space="preserve"> </w:t>
      </w:r>
      <w:r w:rsidR="008A68A8">
        <w:t>travaux</w:t>
      </w:r>
      <w:r w:rsidRPr="00D1559A">
        <w:t>.</w:t>
      </w:r>
    </w:p>
    <w:p w14:paraId="2EF8D4CE" w14:textId="77777777" w:rsidR="006B7598" w:rsidRDefault="006B7598" w:rsidP="006C55BC">
      <w:pPr>
        <w:spacing w:line="276" w:lineRule="auto"/>
      </w:pPr>
    </w:p>
    <w:p w14:paraId="53E186AF" w14:textId="77777777" w:rsidR="00514BC6" w:rsidRDefault="00514BC6" w:rsidP="00514BC6">
      <w:pPr>
        <w:pStyle w:val="VPuce"/>
        <w:numPr>
          <w:ilvl w:val="0"/>
          <w:numId w:val="0"/>
        </w:numPr>
        <w:spacing w:line="276" w:lineRule="auto"/>
      </w:pPr>
      <w:r w:rsidRPr="002A4F2F">
        <w:t xml:space="preserve">VINCI Construction est </w:t>
      </w:r>
      <w:r>
        <w:t>un acteur implanté de longue date</w:t>
      </w:r>
      <w:r w:rsidRPr="002A4F2F">
        <w:t xml:space="preserve"> en République tchèque, où il a réalisé un chiffre d'affaires de plus </w:t>
      </w:r>
      <w:r>
        <w:t>de 1,2 milliard</w:t>
      </w:r>
      <w:r w:rsidRPr="002A4F2F">
        <w:t xml:space="preserve"> d'euros en 202</w:t>
      </w:r>
      <w:r>
        <w:t>5</w:t>
      </w:r>
      <w:r w:rsidRPr="002A4F2F">
        <w:t xml:space="preserve">. </w:t>
      </w:r>
      <w:r>
        <w:t>Par ailleurs, l</w:t>
      </w:r>
      <w:r w:rsidRPr="002A4F2F">
        <w:t xml:space="preserve">e groupe VINCI </w:t>
      </w:r>
      <w:r>
        <w:t xml:space="preserve">y </w:t>
      </w:r>
      <w:r w:rsidRPr="002A4F2F">
        <w:t xml:space="preserve">est également </w:t>
      </w:r>
      <w:r>
        <w:t>présent</w:t>
      </w:r>
      <w:r w:rsidRPr="002A4F2F">
        <w:t xml:space="preserve"> </w:t>
      </w:r>
      <w:r>
        <w:t>à travers</w:t>
      </w:r>
      <w:r w:rsidRPr="002A4F2F">
        <w:t xml:space="preserve"> VINCI Energies</w:t>
      </w:r>
      <w:r>
        <w:t xml:space="preserve"> -</w:t>
      </w:r>
      <w:r w:rsidRPr="002A4F2F">
        <w:t xml:space="preserve"> qui </w:t>
      </w:r>
      <w:r>
        <w:t>réalise principalement</w:t>
      </w:r>
      <w:r w:rsidRPr="002A4F2F">
        <w:t xml:space="preserve"> des infrastructures électriques</w:t>
      </w:r>
      <w:r>
        <w:t xml:space="preserve"> -</w:t>
      </w:r>
      <w:r w:rsidRPr="002A4F2F">
        <w:t xml:space="preserve"> et VINCI Concessions, </w:t>
      </w:r>
      <w:r>
        <w:t>titulaire du contrat de partenariat public-privé de l’autoroute D4 (Via Salis)</w:t>
      </w:r>
      <w:r w:rsidRPr="002A4F2F">
        <w:t>.</w:t>
      </w:r>
    </w:p>
    <w:p w14:paraId="3915AC34" w14:textId="77777777" w:rsidR="006B7598" w:rsidRDefault="006B7598" w:rsidP="006C55BC">
      <w:pPr>
        <w:spacing w:line="276" w:lineRule="auto"/>
      </w:pPr>
    </w:p>
    <w:p w14:paraId="544D33F5" w14:textId="77777777" w:rsidR="00152934" w:rsidRDefault="00152934" w:rsidP="006C55BC">
      <w:pPr>
        <w:spacing w:line="276" w:lineRule="auto"/>
      </w:pPr>
    </w:p>
    <w:p w14:paraId="0A0FED52" w14:textId="77777777" w:rsidR="00152934" w:rsidRDefault="00152934" w:rsidP="006C55BC">
      <w:pPr>
        <w:spacing w:line="276" w:lineRule="auto"/>
      </w:pPr>
    </w:p>
    <w:p w14:paraId="236129D1" w14:textId="056C6CEC" w:rsidR="00152934" w:rsidRDefault="00152934" w:rsidP="006C55BC">
      <w:pPr>
        <w:spacing w:line="276" w:lineRule="auto"/>
        <w:rPr>
          <w:sz w:val="18"/>
          <w:szCs w:val="15"/>
        </w:rPr>
      </w:pPr>
      <w:r w:rsidRPr="00152934">
        <w:rPr>
          <w:rStyle w:val="Appelnotedebasdep"/>
          <w:sz w:val="18"/>
          <w:szCs w:val="15"/>
        </w:rPr>
        <w:footnoteRef/>
      </w:r>
      <w:r w:rsidRPr="00152934">
        <w:rPr>
          <w:sz w:val="18"/>
          <w:szCs w:val="15"/>
        </w:rPr>
        <w:t xml:space="preserve"> Le groupement d’entreprises est composé de cinq filiales de VINCI Construction (SMP Vodohospodářské stavby, SMP Construction, ARKO Technology, PRŮMSTAV, Stavby mostů) ainsi que de Česká voda-MEMSEP (groupe Veolia), Hochtief CZ et Hochtief Infrastructure GmbH.</w:t>
      </w:r>
    </w:p>
    <w:p w14:paraId="36F634F2" w14:textId="77777777" w:rsidR="00152934" w:rsidRDefault="00152934" w:rsidP="006C55BC">
      <w:pPr>
        <w:spacing w:line="276" w:lineRule="auto"/>
        <w:rPr>
          <w:sz w:val="18"/>
          <w:szCs w:val="15"/>
        </w:rPr>
      </w:pPr>
    </w:p>
    <w:p w14:paraId="7D418372" w14:textId="77777777" w:rsidR="00152934" w:rsidRDefault="00152934" w:rsidP="006C55BC">
      <w:pPr>
        <w:spacing w:line="276" w:lineRule="auto"/>
        <w:rPr>
          <w:sz w:val="18"/>
          <w:szCs w:val="15"/>
        </w:rPr>
      </w:pPr>
    </w:p>
    <w:p w14:paraId="60680EC8" w14:textId="77777777" w:rsidR="00152934" w:rsidRDefault="00152934" w:rsidP="006C55BC">
      <w:pPr>
        <w:spacing w:line="276" w:lineRule="auto"/>
        <w:rPr>
          <w:sz w:val="18"/>
          <w:szCs w:val="15"/>
        </w:rPr>
      </w:pPr>
    </w:p>
    <w:p w14:paraId="42429F64" w14:textId="77777777" w:rsidR="00152934" w:rsidRDefault="00152934" w:rsidP="006C55BC">
      <w:pPr>
        <w:spacing w:line="276" w:lineRule="auto"/>
        <w:rPr>
          <w:sz w:val="18"/>
          <w:szCs w:val="15"/>
        </w:rPr>
      </w:pPr>
    </w:p>
    <w:p w14:paraId="6BA0440F" w14:textId="77777777" w:rsidR="00152934" w:rsidRPr="00152934" w:rsidRDefault="00152934" w:rsidP="006C55BC">
      <w:pPr>
        <w:spacing w:line="276" w:lineRule="auto"/>
        <w:rPr>
          <w:sz w:val="18"/>
          <w:szCs w:val="15"/>
        </w:rPr>
      </w:pPr>
    </w:p>
    <w:p w14:paraId="138D8E3F" w14:textId="3896D018" w:rsidR="00152934" w:rsidRPr="00840982" w:rsidRDefault="00F7653D" w:rsidP="00F7653D">
      <w:pPr>
        <w:pStyle w:val="Pieddepage"/>
        <w:spacing w:before="600"/>
        <w:ind w:right="360"/>
        <w:jc w:val="both"/>
        <w:rPr>
          <w:rFonts w:asciiTheme="majorHAnsi" w:hAnsiTheme="majorHAnsi"/>
          <w:sz w:val="14"/>
          <w:szCs w:val="14"/>
        </w:rPr>
      </w:pPr>
      <w:r w:rsidRPr="00840982">
        <w:rPr>
          <w:rFonts w:asciiTheme="majorHAnsi" w:hAnsiTheme="majorHAnsi"/>
          <w:sz w:val="14"/>
          <w:szCs w:val="14"/>
        </w:rPr>
        <w:t>À propos de VINCI</w:t>
      </w:r>
    </w:p>
    <w:tbl>
      <w:tblPr>
        <w:tblStyle w:val="Grilledutableau"/>
        <w:tblpPr w:leftFromText="141" w:rightFromText="141" w:vertAnchor="text" w:horzAnchor="margin" w:tblpXSpec="right" w:tblpY="1430"/>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8"/>
        <w:gridCol w:w="2553"/>
        <w:gridCol w:w="7143"/>
      </w:tblGrid>
      <w:tr w:rsidR="006A6CF9" w14:paraId="77A9883B" w14:textId="77777777" w:rsidTr="006A6CF9">
        <w:trPr>
          <w:cantSplit/>
          <w:trHeight w:val="57"/>
        </w:trPr>
        <w:tc>
          <w:tcPr>
            <w:tcW w:w="878" w:type="dxa"/>
            <w:shd w:val="clear" w:color="auto" w:fill="004489" w:themeFill="text2"/>
            <w:vAlign w:val="center"/>
          </w:tcPr>
          <w:p w14:paraId="6DBAEC26" w14:textId="77777777" w:rsidR="006A6CF9" w:rsidRDefault="006A6CF9" w:rsidP="006A6CF9">
            <w:pPr>
              <w:pStyle w:val="Pieddepage"/>
            </w:pPr>
          </w:p>
        </w:tc>
        <w:tc>
          <w:tcPr>
            <w:tcW w:w="2553" w:type="dxa"/>
            <w:vAlign w:val="center"/>
          </w:tcPr>
          <w:p w14:paraId="37026072" w14:textId="77777777" w:rsidR="006A6CF9" w:rsidRPr="002F5174" w:rsidRDefault="006A6CF9" w:rsidP="006A6CF9">
            <w:pPr>
              <w:pStyle w:val="Pieddepage"/>
              <w:spacing w:line="216" w:lineRule="auto"/>
              <w:ind w:left="340"/>
              <w:rPr>
                <w:rFonts w:asciiTheme="majorHAnsi" w:hAnsiTheme="majorHAnsi"/>
                <w:b/>
                <w:bCs/>
                <w:sz w:val="26"/>
                <w:szCs w:val="26"/>
              </w:rPr>
            </w:pPr>
            <w:r w:rsidRPr="002F5174">
              <w:rPr>
                <w:rFonts w:asciiTheme="majorHAnsi" w:hAnsiTheme="majorHAnsi"/>
                <w:b/>
                <w:bCs/>
                <w:sz w:val="26"/>
                <w:szCs w:val="26"/>
              </w:rPr>
              <w:t>CONTACT</w:t>
            </w:r>
          </w:p>
        </w:tc>
        <w:tc>
          <w:tcPr>
            <w:tcW w:w="7143" w:type="dxa"/>
            <w:vAlign w:val="center"/>
          </w:tcPr>
          <w:p w14:paraId="713ACBCE" w14:textId="36F2963A" w:rsidR="006A6CF9" w:rsidRPr="00EA6282" w:rsidRDefault="006A6CF9" w:rsidP="006A6CF9">
            <w:pPr>
              <w:pStyle w:val="Pieddepage"/>
              <w:rPr>
                <w:sz w:val="20"/>
              </w:rPr>
            </w:pPr>
            <w:r w:rsidRPr="00FC5107">
              <w:rPr>
                <w:sz w:val="20"/>
                <w:szCs w:val="22"/>
              </w:rPr>
              <w:t xml:space="preserve">Service de presse </w:t>
            </w:r>
            <w:r>
              <w:rPr>
                <w:sz w:val="20"/>
                <w:szCs w:val="22"/>
              </w:rPr>
              <w:t xml:space="preserve">de </w:t>
            </w:r>
            <w:r w:rsidRPr="00FC5107">
              <w:rPr>
                <w:sz w:val="20"/>
                <w:szCs w:val="22"/>
              </w:rPr>
              <w:t>VINCI</w:t>
            </w:r>
            <w:r>
              <w:rPr>
                <w:sz w:val="20"/>
                <w:szCs w:val="22"/>
              </w:rPr>
              <w:t xml:space="preserve"> - </w:t>
            </w:r>
            <w:r w:rsidRPr="00FC5107">
              <w:rPr>
                <w:sz w:val="20"/>
                <w:szCs w:val="22"/>
              </w:rPr>
              <w:t xml:space="preserve">Tél. : +33 1 57 98 62 </w:t>
            </w:r>
            <w:r>
              <w:rPr>
                <w:sz w:val="20"/>
                <w:szCs w:val="22"/>
              </w:rPr>
              <w:t xml:space="preserve">88 - </w:t>
            </w:r>
            <w:hyperlink r:id="rId10" w:history="1">
              <w:r w:rsidRPr="00FC5107">
                <w:rPr>
                  <w:rStyle w:val="Lienhypertexte"/>
                  <w:color w:val="000000" w:themeColor="text1"/>
                  <w:sz w:val="20"/>
                  <w:szCs w:val="22"/>
                </w:rPr>
                <w:t>media.relations@vinci.com</w:t>
              </w:r>
            </w:hyperlink>
          </w:p>
        </w:tc>
      </w:tr>
    </w:tbl>
    <w:p w14:paraId="310C1100" w14:textId="405DD959" w:rsidR="00D63633" w:rsidRDefault="00F7653D" w:rsidP="00F7653D">
      <w:pPr>
        <w:pStyle w:val="Pieddepage"/>
        <w:spacing w:after="480"/>
        <w:jc w:val="both"/>
        <w:rPr>
          <w:rStyle w:val="Lienhypertexte"/>
          <w:rFonts w:ascii="Vinci Sans Light" w:hAnsi="Vinci Sans Light"/>
          <w:sz w:val="14"/>
          <w:szCs w:val="14"/>
        </w:rPr>
      </w:pPr>
      <w:r w:rsidRPr="009D4424">
        <w:rPr>
          <w:rFonts w:ascii="Vinci Sans Light" w:hAnsi="Vinci Sans Light"/>
          <w:sz w:val="14"/>
          <w:szCs w:val="14"/>
        </w:rPr>
        <w:t xml:space="preserve">VINCI est un </w:t>
      </w:r>
      <w:r w:rsidR="00AB40A3">
        <w:rPr>
          <w:rFonts w:ascii="Vinci Sans Light" w:hAnsi="Vinci Sans Light"/>
          <w:sz w:val="14"/>
          <w:szCs w:val="14"/>
        </w:rPr>
        <w:t>leader</w:t>
      </w:r>
      <w:r w:rsidRPr="009D4424">
        <w:rPr>
          <w:rFonts w:ascii="Vinci Sans Light" w:hAnsi="Vinci Sans Light"/>
          <w:sz w:val="14"/>
          <w:szCs w:val="14"/>
        </w:rPr>
        <w:t xml:space="preserve"> mondial des concessions, de</w:t>
      </w:r>
      <w:r w:rsidR="00AB40A3">
        <w:rPr>
          <w:rFonts w:ascii="Vinci Sans Light" w:hAnsi="Vinci Sans Light"/>
          <w:sz w:val="14"/>
          <w:szCs w:val="14"/>
        </w:rPr>
        <w:t>s services à</w:t>
      </w:r>
      <w:r w:rsidRPr="009D4424">
        <w:rPr>
          <w:rFonts w:ascii="Vinci Sans Light" w:hAnsi="Vinci Sans Light"/>
          <w:sz w:val="14"/>
          <w:szCs w:val="14"/>
        </w:rPr>
        <w:t xml:space="preserve"> l’énergie et de la construction, employant </w:t>
      </w:r>
      <w:r w:rsidR="00800056">
        <w:rPr>
          <w:rFonts w:ascii="Vinci Sans Light" w:hAnsi="Vinci Sans Light"/>
          <w:sz w:val="14"/>
          <w:szCs w:val="14"/>
        </w:rPr>
        <w:t>2</w:t>
      </w:r>
      <w:r w:rsidR="00016E5F">
        <w:rPr>
          <w:rFonts w:ascii="Vinci Sans Light" w:hAnsi="Vinci Sans Light"/>
          <w:sz w:val="14"/>
          <w:szCs w:val="14"/>
        </w:rPr>
        <w:t>94</w:t>
      </w:r>
      <w:r w:rsidRPr="009D4424">
        <w:rPr>
          <w:rFonts w:ascii="Vinci Sans Light" w:hAnsi="Vinci Sans Light"/>
          <w:sz w:val="14"/>
          <w:szCs w:val="14"/>
        </w:rPr>
        <w:t xml:space="preserve"> 000 collaborateurs dans </w:t>
      </w:r>
      <w:r>
        <w:rPr>
          <w:rFonts w:ascii="Vinci Sans Light" w:hAnsi="Vinci Sans Light"/>
          <w:sz w:val="14"/>
          <w:szCs w:val="14"/>
        </w:rPr>
        <w:t>plus</w:t>
      </w:r>
      <w:r w:rsidRPr="009D4424">
        <w:rPr>
          <w:rFonts w:ascii="Vinci Sans Light" w:hAnsi="Vinci Sans Light"/>
          <w:sz w:val="14"/>
          <w:szCs w:val="14"/>
        </w:rPr>
        <w:t xml:space="preserve"> de</w:t>
      </w:r>
      <w:r>
        <w:rPr>
          <w:rFonts w:ascii="Vinci Sans Light" w:hAnsi="Vinci Sans Light"/>
          <w:sz w:val="14"/>
          <w:szCs w:val="14"/>
        </w:rPr>
        <w:t xml:space="preserve"> 120</w:t>
      </w:r>
      <w:r w:rsidRPr="009D4424">
        <w:rPr>
          <w:rFonts w:ascii="Vinci Sans Light" w:hAnsi="Vinci Sans Light"/>
          <w:sz w:val="14"/>
          <w:szCs w:val="14"/>
        </w:rPr>
        <w:t xml:space="preserve"> pays. Sa mission est de concevoir, financer, construire et gérer des infrastructures et des équipements qui contribuent à l’amélioration de la vie quotidienne et à la mobilité de chacun. Parce que sa vision de la réussite est globale, VINCI s’engage sur la performance environnementale, sociale et sociétale de ses activités. Parce que ses réalisations sont d’utilité publique, VINCI considère l’écoute et le dialogue avec l’ensemble des parties prenantes de ses projets comme une condition nécessaire à l’exercice de ses métiers. L’ambition de VINCI est ainsi de créer de la valeur à long terme pour ses clients, ses actionnaires, ses salariés, ses partenaires et pour la société en général. </w:t>
      </w:r>
      <w:hyperlink r:id="rId11" w:history="1">
        <w:r w:rsidRPr="00134D23">
          <w:rPr>
            <w:rStyle w:val="Lienhypertexte"/>
            <w:rFonts w:ascii="Vinci Sans Light" w:hAnsi="Vinci Sans Light"/>
            <w:sz w:val="14"/>
            <w:szCs w:val="14"/>
          </w:rPr>
          <w:t>www.vinci.com</w:t>
        </w:r>
      </w:hyperlink>
    </w:p>
    <w:p w14:paraId="052019E2" w14:textId="77777777" w:rsidR="00BA10ED" w:rsidRDefault="00BA10ED" w:rsidP="00F14541">
      <w:pPr>
        <w:spacing w:line="276" w:lineRule="auto"/>
        <w:jc w:val="left"/>
      </w:pPr>
    </w:p>
    <w:sectPr w:rsidR="00BA10ED" w:rsidSect="00E575AD">
      <w:headerReference w:type="default" r:id="rId12"/>
      <w:footerReference w:type="even" r:id="rId13"/>
      <w:footerReference w:type="default" r:id="rId14"/>
      <w:pgSz w:w="11906" w:h="16838" w:code="9"/>
      <w:pgMar w:top="1701" w:right="1304" w:bottom="1134" w:left="1304"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B9CE" w14:textId="77777777" w:rsidR="008619B1" w:rsidRDefault="008619B1" w:rsidP="00DF1FA4">
      <w:r>
        <w:separator/>
      </w:r>
    </w:p>
  </w:endnote>
  <w:endnote w:type="continuationSeparator" w:id="0">
    <w:p w14:paraId="5F11985A" w14:textId="77777777" w:rsidR="008619B1" w:rsidRDefault="008619B1" w:rsidP="00DF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inci Sans">
    <w:panose1 w:val="020B0501040101020203"/>
    <w:charset w:val="4D"/>
    <w:family w:val="swiss"/>
    <w:notTrueType/>
    <w:pitch w:val="variable"/>
    <w:sig w:usb0="00000007" w:usb1="00000000" w:usb2="00000000" w:usb3="00000000" w:csb0="00000093" w:csb1="00000000"/>
  </w:font>
  <w:font w:name="Vinci Sans Expanded Medium">
    <w:altName w:val="Calibri"/>
    <w:panose1 w:val="020B0505040101020203"/>
    <w:charset w:val="4D"/>
    <w:family w:val="swiss"/>
    <w:notTrueType/>
    <w:pitch w:val="variable"/>
    <w:sig w:usb0="00000007" w:usb1="00000000" w:usb2="00000000" w:usb3="00000000" w:csb0="00000093" w:csb1="00000000"/>
  </w:font>
  <w:font w:name="Vinci Sans Medium">
    <w:altName w:val="Calibri"/>
    <w:panose1 w:val="020B0501040101020203"/>
    <w:charset w:val="4D"/>
    <w:family w:val="swiss"/>
    <w:notTrueType/>
    <w:pitch w:val="variable"/>
    <w:sig w:usb0="00000007" w:usb1="00000000" w:usb2="00000000" w:usb3="00000000" w:csb0="00000093" w:csb1="00000000"/>
  </w:font>
  <w:font w:name="Vinci Sans Light">
    <w:altName w:val="Calibri"/>
    <w:panose1 w:val="020B0501040101020203"/>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43071914"/>
      <w:docPartObj>
        <w:docPartGallery w:val="Page Numbers (Bottom of Page)"/>
        <w:docPartUnique/>
      </w:docPartObj>
    </w:sdtPr>
    <w:sdtEndPr>
      <w:rPr>
        <w:rStyle w:val="Numrodepage"/>
      </w:rPr>
    </w:sdtEndPr>
    <w:sdtContent>
      <w:p w14:paraId="57255CC2" w14:textId="77777777" w:rsidR="009D4424" w:rsidRDefault="009D4424" w:rsidP="00134D2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F6471CA" w14:textId="77777777" w:rsidR="009D4424" w:rsidRDefault="009D4424" w:rsidP="009D44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544C" w14:textId="05A076CD" w:rsidR="009D4424" w:rsidRDefault="009D4424" w:rsidP="00134D23">
    <w:pPr>
      <w:pStyle w:val="Pieddepage"/>
      <w:framePr w:wrap="none" w:vAnchor="text" w:hAnchor="margin" w:xAlign="right" w:y="1"/>
      <w:rPr>
        <w:rStyle w:val="Numrodepage"/>
      </w:rPr>
    </w:pPr>
  </w:p>
  <w:p w14:paraId="4DFC102F" w14:textId="5F465460" w:rsidR="009D4424" w:rsidRPr="009D4424" w:rsidRDefault="00F7653D" w:rsidP="00F14541">
    <w:pPr>
      <w:pStyle w:val="Pieddepage"/>
      <w:spacing w:after="600"/>
      <w:jc w:val="both"/>
      <w:rPr>
        <w:rFonts w:ascii="Vinci Sans Light" w:hAnsi="Vinci Sans Light"/>
        <w:sz w:val="14"/>
        <w:szCs w:val="14"/>
      </w:rPr>
    </w:pPr>
    <w:r w:rsidRPr="009D4424">
      <w:rPr>
        <w:rFonts w:ascii="Vinci Sans Light" w:hAnsi="Vinci Sans Light"/>
        <w:i/>
        <w:iCs/>
        <w:sz w:val="14"/>
        <w:szCs w:val="14"/>
      </w:rPr>
      <w:t>Ce communiqué de presse est un document d’information officiel du groupe VINCI.</w:t>
    </w:r>
  </w:p>
  <w:p w14:paraId="13EA9D26" w14:textId="77777777" w:rsidR="00840982" w:rsidRDefault="00840982" w:rsidP="00840982">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CDB9" w14:textId="77777777" w:rsidR="008619B1" w:rsidRDefault="008619B1" w:rsidP="00DF1FA4"/>
  </w:footnote>
  <w:footnote w:type="continuationSeparator" w:id="0">
    <w:p w14:paraId="70F57763" w14:textId="77777777" w:rsidR="008619B1" w:rsidRDefault="008619B1" w:rsidP="00DF1FA4">
      <w:r>
        <w:continuationSeparator/>
      </w:r>
    </w:p>
  </w:footnote>
  <w:footnote w:id="1">
    <w:p w14:paraId="7F36D6B9" w14:textId="5F561148" w:rsidR="00C049EB" w:rsidRDefault="00C049E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8A8" w14:textId="77777777" w:rsidR="00F7653D" w:rsidRDefault="00F7653D" w:rsidP="00F7653D">
    <w:pPr>
      <w:pStyle w:val="En-tte"/>
    </w:pPr>
  </w:p>
  <w:p w14:paraId="6F0DFE62" w14:textId="77777777" w:rsidR="00F7653D" w:rsidRPr="000E60CF" w:rsidRDefault="00F7653D" w:rsidP="00F7653D">
    <w:pPr>
      <w:pStyle w:val="En-tte"/>
    </w:pPr>
    <w:r>
      <w:rPr>
        <w:noProof/>
      </w:rPr>
      <w:drawing>
        <wp:anchor distT="0" distB="0" distL="114300" distR="114300" simplePos="0" relativeHeight="251659264" behindDoc="1" locked="0" layoutInCell="1" allowOverlap="1" wp14:anchorId="06E4EF24" wp14:editId="17B6DD05">
          <wp:simplePos x="0" y="0"/>
          <wp:positionH relativeFrom="page">
            <wp:posOffset>5777230</wp:posOffset>
          </wp:positionH>
          <wp:positionV relativeFrom="page">
            <wp:posOffset>262890</wp:posOffset>
          </wp:positionV>
          <wp:extent cx="1788160" cy="675640"/>
          <wp:effectExtent l="0" t="0" r="0" b="0"/>
          <wp:wrapNone/>
          <wp:docPr id="544997365" name="Graphique 54499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t="27158" r="1528" b="15235"/>
                  <a:stretch/>
                </pic:blipFill>
                <pic:spPr bwMode="auto">
                  <a:xfrm>
                    <a:off x="0" y="0"/>
                    <a:ext cx="1788160" cy="675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492172" w14:textId="06C3E367" w:rsidR="00DF1FA4" w:rsidRPr="00F7653D" w:rsidRDefault="00DF1FA4" w:rsidP="00F765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3C6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4D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8EA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01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389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5AC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BE9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AE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C25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C8F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B64771"/>
    <w:multiLevelType w:val="multilevel"/>
    <w:tmpl w:val="CE0C3184"/>
    <w:lvl w:ilvl="0">
      <w:start w:val="1"/>
      <w:numFmt w:val="bullet"/>
      <w:lvlText w:val=""/>
      <w:lvlJc w:val="left"/>
      <w:pPr>
        <w:ind w:left="227" w:hanging="227"/>
      </w:pPr>
      <w:rPr>
        <w:rFonts w:ascii="Wingdings" w:hAnsi="Wingdings" w:hint="default"/>
        <w:color w:val="004489" w:themeColor="text2"/>
        <w:sz w:val="16"/>
        <w:szCs w:val="16"/>
      </w:rPr>
    </w:lvl>
    <w:lvl w:ilvl="1">
      <w:start w:val="1"/>
      <w:numFmt w:val="bullet"/>
      <w:pStyle w:val="VPuce2"/>
      <w:lvlText w:val=""/>
      <w:lvlJc w:val="left"/>
      <w:pPr>
        <w:ind w:left="360" w:hanging="360"/>
      </w:pPr>
      <w:rPr>
        <w:rFonts w:ascii="Wingdings" w:hAnsi="Wingdings" w:hint="default"/>
        <w:color w:val="004489" w:themeColor="text2"/>
      </w:rPr>
    </w:lvl>
    <w:lvl w:ilvl="2">
      <w:start w:val="1"/>
      <w:numFmt w:val="lowerRoman"/>
      <w:lvlText w:val="%3)"/>
      <w:lvlJc w:val="left"/>
      <w:pPr>
        <w:tabs>
          <w:tab w:val="num" w:pos="57"/>
        </w:tabs>
        <w:ind w:left="227" w:hanging="227"/>
      </w:pPr>
      <w:rPr>
        <w:rFonts w:hint="default"/>
      </w:rPr>
    </w:lvl>
    <w:lvl w:ilvl="3">
      <w:start w:val="1"/>
      <w:numFmt w:val="decimal"/>
      <w:lvlText w:val="(%4)"/>
      <w:lvlJc w:val="left"/>
      <w:pPr>
        <w:tabs>
          <w:tab w:val="num" w:pos="57"/>
        </w:tabs>
        <w:ind w:left="227" w:hanging="227"/>
      </w:pPr>
      <w:rPr>
        <w:rFonts w:hint="default"/>
      </w:rPr>
    </w:lvl>
    <w:lvl w:ilvl="4">
      <w:start w:val="1"/>
      <w:numFmt w:val="lowerLetter"/>
      <w:lvlText w:val="(%5)"/>
      <w:lvlJc w:val="left"/>
      <w:pPr>
        <w:tabs>
          <w:tab w:val="num" w:pos="57"/>
        </w:tabs>
        <w:ind w:left="227" w:hanging="227"/>
      </w:pPr>
      <w:rPr>
        <w:rFonts w:hint="default"/>
      </w:rPr>
    </w:lvl>
    <w:lvl w:ilvl="5">
      <w:start w:val="1"/>
      <w:numFmt w:val="lowerRoman"/>
      <w:lvlText w:val="(%6)"/>
      <w:lvlJc w:val="left"/>
      <w:pPr>
        <w:tabs>
          <w:tab w:val="num" w:pos="57"/>
        </w:tabs>
        <w:ind w:left="227" w:hanging="227"/>
      </w:pPr>
      <w:rPr>
        <w:rFonts w:hint="default"/>
      </w:rPr>
    </w:lvl>
    <w:lvl w:ilvl="6">
      <w:start w:val="1"/>
      <w:numFmt w:val="decimal"/>
      <w:lvlText w:val="%7."/>
      <w:lvlJc w:val="left"/>
      <w:pPr>
        <w:tabs>
          <w:tab w:val="num" w:pos="57"/>
        </w:tabs>
        <w:ind w:left="227" w:hanging="227"/>
      </w:pPr>
      <w:rPr>
        <w:rFonts w:hint="default"/>
      </w:rPr>
    </w:lvl>
    <w:lvl w:ilvl="7">
      <w:start w:val="1"/>
      <w:numFmt w:val="lowerLetter"/>
      <w:lvlText w:val="%8."/>
      <w:lvlJc w:val="left"/>
      <w:pPr>
        <w:tabs>
          <w:tab w:val="num" w:pos="57"/>
        </w:tabs>
        <w:ind w:left="227" w:hanging="227"/>
      </w:pPr>
      <w:rPr>
        <w:rFonts w:hint="default"/>
      </w:rPr>
    </w:lvl>
    <w:lvl w:ilvl="8">
      <w:start w:val="1"/>
      <w:numFmt w:val="lowerRoman"/>
      <w:lvlText w:val="%9."/>
      <w:lvlJc w:val="left"/>
      <w:pPr>
        <w:tabs>
          <w:tab w:val="num" w:pos="57"/>
        </w:tabs>
        <w:ind w:left="227" w:hanging="227"/>
      </w:pPr>
      <w:rPr>
        <w:rFonts w:hint="default"/>
      </w:rPr>
    </w:lvl>
  </w:abstractNum>
  <w:abstractNum w:abstractNumId="11" w15:restartNumberingAfterBreak="0">
    <w:nsid w:val="69077135"/>
    <w:multiLevelType w:val="multilevel"/>
    <w:tmpl w:val="A7B204A8"/>
    <w:lvl w:ilvl="0">
      <w:start w:val="1"/>
      <w:numFmt w:val="bullet"/>
      <w:pStyle w:val="VPuce"/>
      <w:lvlText w:val=""/>
      <w:lvlJc w:val="left"/>
      <w:pPr>
        <w:ind w:left="227" w:hanging="227"/>
      </w:pPr>
      <w:rPr>
        <w:rFonts w:ascii="Wingdings" w:hAnsi="Wingdings" w:hint="default"/>
        <w:color w:val="004489" w:themeColor="text2"/>
        <w:sz w:val="16"/>
        <w:szCs w:val="16"/>
      </w:rPr>
    </w:lvl>
    <w:lvl w:ilvl="1">
      <w:start w:val="1"/>
      <w:numFmt w:val="lowerLetter"/>
      <w:lvlText w:val="%2)"/>
      <w:lvlJc w:val="left"/>
      <w:pPr>
        <w:tabs>
          <w:tab w:val="num" w:pos="57"/>
        </w:tabs>
        <w:ind w:left="227" w:hanging="227"/>
      </w:pPr>
      <w:rPr>
        <w:rFonts w:hint="default"/>
      </w:rPr>
    </w:lvl>
    <w:lvl w:ilvl="2">
      <w:start w:val="1"/>
      <w:numFmt w:val="lowerRoman"/>
      <w:lvlText w:val="%3)"/>
      <w:lvlJc w:val="left"/>
      <w:pPr>
        <w:tabs>
          <w:tab w:val="num" w:pos="57"/>
        </w:tabs>
        <w:ind w:left="227" w:hanging="227"/>
      </w:pPr>
      <w:rPr>
        <w:rFonts w:hint="default"/>
      </w:rPr>
    </w:lvl>
    <w:lvl w:ilvl="3">
      <w:start w:val="1"/>
      <w:numFmt w:val="decimal"/>
      <w:lvlText w:val="(%4)"/>
      <w:lvlJc w:val="left"/>
      <w:pPr>
        <w:tabs>
          <w:tab w:val="num" w:pos="57"/>
        </w:tabs>
        <w:ind w:left="227" w:hanging="227"/>
      </w:pPr>
      <w:rPr>
        <w:rFonts w:hint="default"/>
      </w:rPr>
    </w:lvl>
    <w:lvl w:ilvl="4">
      <w:start w:val="1"/>
      <w:numFmt w:val="lowerLetter"/>
      <w:lvlText w:val="(%5)"/>
      <w:lvlJc w:val="left"/>
      <w:pPr>
        <w:tabs>
          <w:tab w:val="num" w:pos="57"/>
        </w:tabs>
        <w:ind w:left="227" w:hanging="227"/>
      </w:pPr>
      <w:rPr>
        <w:rFonts w:hint="default"/>
      </w:rPr>
    </w:lvl>
    <w:lvl w:ilvl="5">
      <w:start w:val="1"/>
      <w:numFmt w:val="lowerRoman"/>
      <w:lvlText w:val="(%6)"/>
      <w:lvlJc w:val="left"/>
      <w:pPr>
        <w:tabs>
          <w:tab w:val="num" w:pos="57"/>
        </w:tabs>
        <w:ind w:left="227" w:hanging="227"/>
      </w:pPr>
      <w:rPr>
        <w:rFonts w:hint="default"/>
      </w:rPr>
    </w:lvl>
    <w:lvl w:ilvl="6">
      <w:start w:val="1"/>
      <w:numFmt w:val="decimal"/>
      <w:lvlText w:val="%7."/>
      <w:lvlJc w:val="left"/>
      <w:pPr>
        <w:tabs>
          <w:tab w:val="num" w:pos="57"/>
        </w:tabs>
        <w:ind w:left="227" w:hanging="227"/>
      </w:pPr>
      <w:rPr>
        <w:rFonts w:hint="default"/>
      </w:rPr>
    </w:lvl>
    <w:lvl w:ilvl="7">
      <w:start w:val="1"/>
      <w:numFmt w:val="lowerLetter"/>
      <w:lvlText w:val="%8."/>
      <w:lvlJc w:val="left"/>
      <w:pPr>
        <w:tabs>
          <w:tab w:val="num" w:pos="57"/>
        </w:tabs>
        <w:ind w:left="227" w:hanging="227"/>
      </w:pPr>
      <w:rPr>
        <w:rFonts w:hint="default"/>
      </w:rPr>
    </w:lvl>
    <w:lvl w:ilvl="8">
      <w:start w:val="1"/>
      <w:numFmt w:val="lowerRoman"/>
      <w:lvlText w:val="%9."/>
      <w:lvlJc w:val="left"/>
      <w:pPr>
        <w:tabs>
          <w:tab w:val="num" w:pos="57"/>
        </w:tabs>
        <w:ind w:left="227" w:hanging="227"/>
      </w:pPr>
      <w:rPr>
        <w:rFonts w:hint="default"/>
      </w:rPr>
    </w:lvl>
  </w:abstractNum>
  <w:num w:numId="1" w16cid:durableId="1854107688">
    <w:abstractNumId w:val="8"/>
  </w:num>
  <w:num w:numId="2" w16cid:durableId="2085949365">
    <w:abstractNumId w:val="3"/>
  </w:num>
  <w:num w:numId="3" w16cid:durableId="677275991">
    <w:abstractNumId w:val="2"/>
  </w:num>
  <w:num w:numId="4" w16cid:durableId="1259949084">
    <w:abstractNumId w:val="1"/>
  </w:num>
  <w:num w:numId="5" w16cid:durableId="2073888333">
    <w:abstractNumId w:val="0"/>
  </w:num>
  <w:num w:numId="6" w16cid:durableId="826478520">
    <w:abstractNumId w:val="9"/>
  </w:num>
  <w:num w:numId="7" w16cid:durableId="206259998">
    <w:abstractNumId w:val="7"/>
  </w:num>
  <w:num w:numId="8" w16cid:durableId="1547839005">
    <w:abstractNumId w:val="6"/>
  </w:num>
  <w:num w:numId="9" w16cid:durableId="687801916">
    <w:abstractNumId w:val="5"/>
  </w:num>
  <w:num w:numId="10" w16cid:durableId="688801816">
    <w:abstractNumId w:val="4"/>
  </w:num>
  <w:num w:numId="11" w16cid:durableId="102581898">
    <w:abstractNumId w:val="11"/>
  </w:num>
  <w:num w:numId="12" w16cid:durableId="76177988">
    <w:abstractNumId w:val="10"/>
  </w:num>
  <w:num w:numId="13" w16cid:durableId="2073041312">
    <w:abstractNumId w:val="11"/>
  </w:num>
  <w:num w:numId="14" w16cid:durableId="888102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0"/>
    <w:rsid w:val="00003E1C"/>
    <w:rsid w:val="000139BD"/>
    <w:rsid w:val="000156C7"/>
    <w:rsid w:val="00016E5F"/>
    <w:rsid w:val="00041875"/>
    <w:rsid w:val="00087566"/>
    <w:rsid w:val="0009231F"/>
    <w:rsid w:val="000B559B"/>
    <w:rsid w:val="000B7E5E"/>
    <w:rsid w:val="000C097B"/>
    <w:rsid w:val="000C0B1A"/>
    <w:rsid w:val="000E60CF"/>
    <w:rsid w:val="000F742F"/>
    <w:rsid w:val="001138A7"/>
    <w:rsid w:val="001237C2"/>
    <w:rsid w:val="00134061"/>
    <w:rsid w:val="00140FC4"/>
    <w:rsid w:val="00152934"/>
    <w:rsid w:val="00161974"/>
    <w:rsid w:val="001626DD"/>
    <w:rsid w:val="00183B00"/>
    <w:rsid w:val="001B591C"/>
    <w:rsid w:val="001C27B9"/>
    <w:rsid w:val="001C57CD"/>
    <w:rsid w:val="001D5CED"/>
    <w:rsid w:val="001E185A"/>
    <w:rsid w:val="00211470"/>
    <w:rsid w:val="002218B8"/>
    <w:rsid w:val="0024365B"/>
    <w:rsid w:val="00245335"/>
    <w:rsid w:val="00247E7E"/>
    <w:rsid w:val="00262FCC"/>
    <w:rsid w:val="00274E23"/>
    <w:rsid w:val="002836DD"/>
    <w:rsid w:val="00293BC6"/>
    <w:rsid w:val="00293E0C"/>
    <w:rsid w:val="00295332"/>
    <w:rsid w:val="002A0462"/>
    <w:rsid w:val="002C508D"/>
    <w:rsid w:val="002E74CA"/>
    <w:rsid w:val="003019C7"/>
    <w:rsid w:val="003144E4"/>
    <w:rsid w:val="0032596E"/>
    <w:rsid w:val="003335F9"/>
    <w:rsid w:val="00382793"/>
    <w:rsid w:val="003864AD"/>
    <w:rsid w:val="0039029C"/>
    <w:rsid w:val="0039403B"/>
    <w:rsid w:val="003A2DFB"/>
    <w:rsid w:val="003C1903"/>
    <w:rsid w:val="003E68CC"/>
    <w:rsid w:val="003F66B7"/>
    <w:rsid w:val="004022B4"/>
    <w:rsid w:val="00425677"/>
    <w:rsid w:val="0042713C"/>
    <w:rsid w:val="00433EDD"/>
    <w:rsid w:val="00441DE0"/>
    <w:rsid w:val="0044219E"/>
    <w:rsid w:val="00445592"/>
    <w:rsid w:val="0045216F"/>
    <w:rsid w:val="00452AA8"/>
    <w:rsid w:val="004530B0"/>
    <w:rsid w:val="004673E1"/>
    <w:rsid w:val="00486A59"/>
    <w:rsid w:val="004B7BD5"/>
    <w:rsid w:val="004C6A3D"/>
    <w:rsid w:val="004D7CB5"/>
    <w:rsid w:val="004F75F5"/>
    <w:rsid w:val="00501BA7"/>
    <w:rsid w:val="00505741"/>
    <w:rsid w:val="005107D1"/>
    <w:rsid w:val="00514BC6"/>
    <w:rsid w:val="0052237B"/>
    <w:rsid w:val="00544345"/>
    <w:rsid w:val="005732EA"/>
    <w:rsid w:val="00593DC9"/>
    <w:rsid w:val="005943AF"/>
    <w:rsid w:val="005A1F20"/>
    <w:rsid w:val="005A7A9F"/>
    <w:rsid w:val="005B10DA"/>
    <w:rsid w:val="005B60C2"/>
    <w:rsid w:val="005C775F"/>
    <w:rsid w:val="005F4DAA"/>
    <w:rsid w:val="005F5CA6"/>
    <w:rsid w:val="00610BC1"/>
    <w:rsid w:val="0061682B"/>
    <w:rsid w:val="00646086"/>
    <w:rsid w:val="00646166"/>
    <w:rsid w:val="00655A10"/>
    <w:rsid w:val="00682310"/>
    <w:rsid w:val="00685BB5"/>
    <w:rsid w:val="00685E75"/>
    <w:rsid w:val="00697CA1"/>
    <w:rsid w:val="006A6CF9"/>
    <w:rsid w:val="006B5C7E"/>
    <w:rsid w:val="006B7598"/>
    <w:rsid w:val="006B785D"/>
    <w:rsid w:val="006C3636"/>
    <w:rsid w:val="006C5367"/>
    <w:rsid w:val="006C55BC"/>
    <w:rsid w:val="006C7C81"/>
    <w:rsid w:val="006E27BF"/>
    <w:rsid w:val="006E310E"/>
    <w:rsid w:val="006F6E45"/>
    <w:rsid w:val="007003AF"/>
    <w:rsid w:val="00702233"/>
    <w:rsid w:val="00737ACA"/>
    <w:rsid w:val="007425BB"/>
    <w:rsid w:val="00780AF6"/>
    <w:rsid w:val="00791589"/>
    <w:rsid w:val="00796F8A"/>
    <w:rsid w:val="007A1A00"/>
    <w:rsid w:val="007A4205"/>
    <w:rsid w:val="007A46E2"/>
    <w:rsid w:val="007A694C"/>
    <w:rsid w:val="007B0A28"/>
    <w:rsid w:val="007B2E86"/>
    <w:rsid w:val="007B7829"/>
    <w:rsid w:val="007C1E29"/>
    <w:rsid w:val="007E317D"/>
    <w:rsid w:val="00800056"/>
    <w:rsid w:val="008004DF"/>
    <w:rsid w:val="00800BE1"/>
    <w:rsid w:val="0080313B"/>
    <w:rsid w:val="008055F6"/>
    <w:rsid w:val="00805FAA"/>
    <w:rsid w:val="00806019"/>
    <w:rsid w:val="008124BD"/>
    <w:rsid w:val="00815B14"/>
    <w:rsid w:val="00821ADF"/>
    <w:rsid w:val="00840982"/>
    <w:rsid w:val="00844956"/>
    <w:rsid w:val="008556C9"/>
    <w:rsid w:val="00856FA3"/>
    <w:rsid w:val="008578E7"/>
    <w:rsid w:val="00861625"/>
    <w:rsid w:val="008619B1"/>
    <w:rsid w:val="00877117"/>
    <w:rsid w:val="008832EC"/>
    <w:rsid w:val="0089070E"/>
    <w:rsid w:val="008A68A8"/>
    <w:rsid w:val="008E2532"/>
    <w:rsid w:val="008E783D"/>
    <w:rsid w:val="008F0F07"/>
    <w:rsid w:val="008F2A13"/>
    <w:rsid w:val="00903556"/>
    <w:rsid w:val="00921999"/>
    <w:rsid w:val="00935FDF"/>
    <w:rsid w:val="00951139"/>
    <w:rsid w:val="0096302B"/>
    <w:rsid w:val="00963956"/>
    <w:rsid w:val="00980C9F"/>
    <w:rsid w:val="009968C5"/>
    <w:rsid w:val="009A23AB"/>
    <w:rsid w:val="009A5876"/>
    <w:rsid w:val="009A6592"/>
    <w:rsid w:val="009D180E"/>
    <w:rsid w:val="009D4424"/>
    <w:rsid w:val="009F5C66"/>
    <w:rsid w:val="00A10CE9"/>
    <w:rsid w:val="00A25A80"/>
    <w:rsid w:val="00AB40A3"/>
    <w:rsid w:val="00AC2ABA"/>
    <w:rsid w:val="00AD001F"/>
    <w:rsid w:val="00AD2300"/>
    <w:rsid w:val="00AD310F"/>
    <w:rsid w:val="00B0359C"/>
    <w:rsid w:val="00B20A5D"/>
    <w:rsid w:val="00B32781"/>
    <w:rsid w:val="00B32F4C"/>
    <w:rsid w:val="00B330AE"/>
    <w:rsid w:val="00B343B1"/>
    <w:rsid w:val="00B64F18"/>
    <w:rsid w:val="00B7692E"/>
    <w:rsid w:val="00B84A3D"/>
    <w:rsid w:val="00B92FB1"/>
    <w:rsid w:val="00B9367F"/>
    <w:rsid w:val="00B95D40"/>
    <w:rsid w:val="00BA10ED"/>
    <w:rsid w:val="00BA18C3"/>
    <w:rsid w:val="00BA6B5D"/>
    <w:rsid w:val="00BC490B"/>
    <w:rsid w:val="00BD721C"/>
    <w:rsid w:val="00C049EB"/>
    <w:rsid w:val="00C10E75"/>
    <w:rsid w:val="00C21B90"/>
    <w:rsid w:val="00C22C14"/>
    <w:rsid w:val="00C24CC9"/>
    <w:rsid w:val="00C31F14"/>
    <w:rsid w:val="00C76A1B"/>
    <w:rsid w:val="00C83352"/>
    <w:rsid w:val="00C84AF8"/>
    <w:rsid w:val="00C919F9"/>
    <w:rsid w:val="00CB3CB7"/>
    <w:rsid w:val="00CC0066"/>
    <w:rsid w:val="00CF260D"/>
    <w:rsid w:val="00D00A61"/>
    <w:rsid w:val="00D13D48"/>
    <w:rsid w:val="00D1559A"/>
    <w:rsid w:val="00D2466E"/>
    <w:rsid w:val="00D265D9"/>
    <w:rsid w:val="00D54C2A"/>
    <w:rsid w:val="00D63633"/>
    <w:rsid w:val="00D718D8"/>
    <w:rsid w:val="00DA27E1"/>
    <w:rsid w:val="00DA2B5B"/>
    <w:rsid w:val="00DC13BB"/>
    <w:rsid w:val="00DC5CD2"/>
    <w:rsid w:val="00DC7837"/>
    <w:rsid w:val="00DD099A"/>
    <w:rsid w:val="00DD5345"/>
    <w:rsid w:val="00DE72B9"/>
    <w:rsid w:val="00DF1FA4"/>
    <w:rsid w:val="00DF6660"/>
    <w:rsid w:val="00E234FF"/>
    <w:rsid w:val="00E27DE3"/>
    <w:rsid w:val="00E346C1"/>
    <w:rsid w:val="00E56FB4"/>
    <w:rsid w:val="00E575AD"/>
    <w:rsid w:val="00E878B3"/>
    <w:rsid w:val="00E91CDF"/>
    <w:rsid w:val="00EA2386"/>
    <w:rsid w:val="00EA6411"/>
    <w:rsid w:val="00EB1655"/>
    <w:rsid w:val="00EB6AC0"/>
    <w:rsid w:val="00EC33B4"/>
    <w:rsid w:val="00EC41D8"/>
    <w:rsid w:val="00EE508D"/>
    <w:rsid w:val="00F05E15"/>
    <w:rsid w:val="00F14541"/>
    <w:rsid w:val="00F2226F"/>
    <w:rsid w:val="00F253B9"/>
    <w:rsid w:val="00F317CC"/>
    <w:rsid w:val="00F363EB"/>
    <w:rsid w:val="00F5284E"/>
    <w:rsid w:val="00F71ED9"/>
    <w:rsid w:val="00F7653D"/>
    <w:rsid w:val="00F86834"/>
    <w:rsid w:val="00F93271"/>
    <w:rsid w:val="00FA062C"/>
    <w:rsid w:val="00FA6065"/>
    <w:rsid w:val="00FC50C7"/>
    <w:rsid w:val="00FC5107"/>
    <w:rsid w:val="00FD6CFC"/>
    <w:rsid w:val="00FE359F"/>
    <w:rsid w:val="00FF0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D0150"/>
  <w15:chartTrackingRefBased/>
  <w15:docId w15:val="{C4F52F93-AAA7-A54A-B2B6-54CEB96A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8578E7"/>
    <w:pPr>
      <w:jc w:val="both"/>
    </w:pPr>
    <w:rPr>
      <w:sz w:val="22"/>
    </w:rPr>
  </w:style>
  <w:style w:type="paragraph" w:styleId="Titre3">
    <w:name w:val="heading 3"/>
    <w:basedOn w:val="Normal"/>
    <w:link w:val="Titre3Car"/>
    <w:uiPriority w:val="9"/>
    <w:qFormat/>
    <w:rsid w:val="005F4DAA"/>
    <w:pPr>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DF1FA4"/>
    <w:pPr>
      <w:jc w:val="left"/>
    </w:pPr>
    <w:rPr>
      <w:sz w:val="16"/>
    </w:rPr>
  </w:style>
  <w:style w:type="character" w:customStyle="1" w:styleId="En-tteCar">
    <w:name w:val="En-tête Car"/>
    <w:basedOn w:val="Policepardfaut"/>
    <w:link w:val="En-tte"/>
    <w:uiPriority w:val="99"/>
    <w:semiHidden/>
    <w:rsid w:val="00840982"/>
    <w:rPr>
      <w:sz w:val="16"/>
    </w:rPr>
  </w:style>
  <w:style w:type="paragraph" w:styleId="Pieddepage">
    <w:name w:val="footer"/>
    <w:basedOn w:val="Normal"/>
    <w:link w:val="PieddepageCar"/>
    <w:uiPriority w:val="99"/>
    <w:semiHidden/>
    <w:rsid w:val="00840982"/>
    <w:pPr>
      <w:jc w:val="left"/>
    </w:pPr>
    <w:rPr>
      <w:sz w:val="18"/>
    </w:rPr>
  </w:style>
  <w:style w:type="character" w:customStyle="1" w:styleId="PieddepageCar">
    <w:name w:val="Pied de page Car"/>
    <w:basedOn w:val="Policepardfaut"/>
    <w:link w:val="Pieddepage"/>
    <w:uiPriority w:val="99"/>
    <w:semiHidden/>
    <w:rsid w:val="00840982"/>
    <w:rPr>
      <w:sz w:val="18"/>
    </w:rPr>
  </w:style>
  <w:style w:type="table" w:styleId="Grilledutableau">
    <w:name w:val="Table Grid"/>
    <w:basedOn w:val="TableauNormal"/>
    <w:uiPriority w:val="59"/>
    <w:rsid w:val="00DF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840982"/>
    <w:rPr>
      <w:color w:val="00428B" w:themeColor="hyperlink"/>
      <w:u w:val="none"/>
    </w:rPr>
  </w:style>
  <w:style w:type="character" w:styleId="Mentionnonrsolue">
    <w:name w:val="Unresolved Mention"/>
    <w:basedOn w:val="Policepardfaut"/>
    <w:uiPriority w:val="99"/>
    <w:semiHidden/>
    <w:rsid w:val="00840982"/>
    <w:rPr>
      <w:color w:val="605E5C"/>
      <w:shd w:val="clear" w:color="auto" w:fill="E1DFDD"/>
    </w:rPr>
  </w:style>
  <w:style w:type="character" w:styleId="Textedelespacerserv">
    <w:name w:val="Placeholder Text"/>
    <w:basedOn w:val="Policepardfaut"/>
    <w:uiPriority w:val="99"/>
    <w:semiHidden/>
    <w:rsid w:val="00840982"/>
    <w:rPr>
      <w:color w:val="808080"/>
    </w:rPr>
  </w:style>
  <w:style w:type="paragraph" w:customStyle="1" w:styleId="VDate">
    <w:name w:val="V_Date"/>
    <w:basedOn w:val="Normal"/>
    <w:next w:val="Normal"/>
    <w:qFormat/>
    <w:rsid w:val="00840982"/>
    <w:pPr>
      <w:jc w:val="right"/>
    </w:pPr>
    <w:rPr>
      <w:szCs w:val="22"/>
    </w:rPr>
  </w:style>
  <w:style w:type="paragraph" w:customStyle="1" w:styleId="VTitre">
    <w:name w:val="V_Titre"/>
    <w:basedOn w:val="Normal"/>
    <w:next w:val="Normal"/>
    <w:qFormat/>
    <w:rsid w:val="008578E7"/>
    <w:pPr>
      <w:spacing w:before="600" w:after="600"/>
      <w:jc w:val="center"/>
    </w:pPr>
    <w:rPr>
      <w:b/>
      <w:bCs/>
      <w:sz w:val="30"/>
      <w:szCs w:val="34"/>
    </w:rPr>
  </w:style>
  <w:style w:type="paragraph" w:customStyle="1" w:styleId="VPuce">
    <w:name w:val="V_Puce"/>
    <w:basedOn w:val="Normal"/>
    <w:uiPriority w:val="1"/>
    <w:qFormat/>
    <w:rsid w:val="00840982"/>
    <w:pPr>
      <w:numPr>
        <w:numId w:val="11"/>
      </w:numPr>
    </w:pPr>
  </w:style>
  <w:style w:type="paragraph" w:customStyle="1" w:styleId="VCitation">
    <w:name w:val="V_Citation"/>
    <w:basedOn w:val="Normal"/>
    <w:next w:val="VAuteur"/>
    <w:uiPriority w:val="2"/>
    <w:qFormat/>
    <w:rsid w:val="00840982"/>
    <w:pPr>
      <w:pBdr>
        <w:left w:val="single" w:sz="12" w:space="10" w:color="004489" w:themeColor="text2"/>
      </w:pBdr>
      <w:ind w:left="850" w:right="1134"/>
    </w:pPr>
    <w:rPr>
      <w:color w:val="004489" w:themeColor="text2"/>
    </w:rPr>
  </w:style>
  <w:style w:type="paragraph" w:customStyle="1" w:styleId="VAuteur">
    <w:name w:val="V_Auteur"/>
    <w:basedOn w:val="Normal"/>
    <w:next w:val="Normal"/>
    <w:uiPriority w:val="3"/>
    <w:qFormat/>
    <w:rsid w:val="00840982"/>
    <w:pPr>
      <w:pBdr>
        <w:left w:val="single" w:sz="12" w:space="10" w:color="004489" w:themeColor="text2"/>
      </w:pBdr>
      <w:ind w:left="850" w:right="1134"/>
    </w:pPr>
    <w:rPr>
      <w:color w:val="004489" w:themeColor="text2"/>
      <w:sz w:val="16"/>
      <w:szCs w:val="16"/>
    </w:rPr>
  </w:style>
  <w:style w:type="paragraph" w:customStyle="1" w:styleId="VBleuBold">
    <w:name w:val="V_BleuBold"/>
    <w:basedOn w:val="Normal"/>
    <w:qFormat/>
    <w:rsid w:val="00B9367F"/>
    <w:rPr>
      <w:b/>
      <w:bCs/>
      <w:color w:val="004489" w:themeColor="text2"/>
      <w:sz w:val="24"/>
    </w:rPr>
  </w:style>
  <w:style w:type="paragraph" w:customStyle="1" w:styleId="VBold">
    <w:name w:val="V_Bold"/>
    <w:basedOn w:val="Normal"/>
    <w:next w:val="Normal"/>
    <w:qFormat/>
    <w:rsid w:val="008578E7"/>
    <w:rPr>
      <w:b/>
      <w:bCs/>
    </w:rPr>
  </w:style>
  <w:style w:type="paragraph" w:customStyle="1" w:styleId="VPuce2">
    <w:name w:val="V_Puce2"/>
    <w:basedOn w:val="VPuce"/>
    <w:qFormat/>
    <w:rsid w:val="00FC5107"/>
    <w:pPr>
      <w:numPr>
        <w:ilvl w:val="1"/>
        <w:numId w:val="12"/>
      </w:numPr>
      <w:ind w:left="993" w:hanging="219"/>
    </w:pPr>
  </w:style>
  <w:style w:type="paragraph" w:customStyle="1" w:styleId="VTitre2">
    <w:name w:val="V_Titre2"/>
    <w:basedOn w:val="Normal"/>
    <w:qFormat/>
    <w:rsid w:val="00FC5107"/>
    <w:rPr>
      <w:b/>
      <w:bCs/>
      <w:caps/>
      <w:color w:val="004489" w:themeColor="text2"/>
    </w:rPr>
  </w:style>
  <w:style w:type="paragraph" w:customStyle="1" w:styleId="VduCAtableau">
    <w:name w:val="V_% du CA (tableau"/>
    <w:basedOn w:val="Normal"/>
    <w:link w:val="VduCAtableauCar"/>
    <w:qFormat/>
    <w:rsid w:val="008556C9"/>
    <w:rPr>
      <w:i/>
      <w:iCs/>
      <w:sz w:val="20"/>
      <w:szCs w:val="18"/>
    </w:rPr>
  </w:style>
  <w:style w:type="paragraph" w:styleId="Notedefin">
    <w:name w:val="endnote text"/>
    <w:basedOn w:val="Normal"/>
    <w:link w:val="NotedefinCar"/>
    <w:uiPriority w:val="99"/>
    <w:semiHidden/>
    <w:rsid w:val="008556C9"/>
    <w:rPr>
      <w:sz w:val="20"/>
    </w:rPr>
  </w:style>
  <w:style w:type="character" w:customStyle="1" w:styleId="VduCAtableauCar">
    <w:name w:val="V_% du CA (tableau Car"/>
    <w:basedOn w:val="Policepardfaut"/>
    <w:link w:val="VduCAtableau"/>
    <w:rsid w:val="008556C9"/>
    <w:rPr>
      <w:i/>
      <w:iCs/>
      <w:szCs w:val="18"/>
    </w:rPr>
  </w:style>
  <w:style w:type="character" w:customStyle="1" w:styleId="NotedefinCar">
    <w:name w:val="Note de fin Car"/>
    <w:basedOn w:val="Policepardfaut"/>
    <w:link w:val="Notedefin"/>
    <w:uiPriority w:val="99"/>
    <w:semiHidden/>
    <w:rsid w:val="008556C9"/>
  </w:style>
  <w:style w:type="character" w:styleId="Appeldenotedefin">
    <w:name w:val="endnote reference"/>
    <w:basedOn w:val="Policepardfaut"/>
    <w:uiPriority w:val="99"/>
    <w:semiHidden/>
    <w:rsid w:val="008556C9"/>
    <w:rPr>
      <w:vertAlign w:val="superscript"/>
    </w:rPr>
  </w:style>
  <w:style w:type="paragraph" w:styleId="Notedebasdepage">
    <w:name w:val="footnote text"/>
    <w:basedOn w:val="Normal"/>
    <w:link w:val="NotedebasdepageCar"/>
    <w:uiPriority w:val="99"/>
    <w:semiHidden/>
    <w:rsid w:val="006C5367"/>
    <w:rPr>
      <w:sz w:val="20"/>
    </w:rPr>
  </w:style>
  <w:style w:type="character" w:customStyle="1" w:styleId="NotedebasdepageCar">
    <w:name w:val="Note de bas de page Car"/>
    <w:basedOn w:val="Policepardfaut"/>
    <w:link w:val="Notedebasdepage"/>
    <w:uiPriority w:val="99"/>
    <w:semiHidden/>
    <w:rsid w:val="006C5367"/>
  </w:style>
  <w:style w:type="character" w:styleId="Appelnotedebasdep">
    <w:name w:val="footnote reference"/>
    <w:basedOn w:val="Policepardfaut"/>
    <w:uiPriority w:val="99"/>
    <w:semiHidden/>
    <w:rsid w:val="006C5367"/>
    <w:rPr>
      <w:vertAlign w:val="superscript"/>
    </w:rPr>
  </w:style>
  <w:style w:type="paragraph" w:customStyle="1" w:styleId="Vnotedebasdepage">
    <w:name w:val="V_note de bas de page"/>
    <w:basedOn w:val="Notedebasdepage"/>
    <w:qFormat/>
    <w:rsid w:val="00DC5CD2"/>
    <w:rPr>
      <w:sz w:val="18"/>
      <w:szCs w:val="18"/>
    </w:rPr>
  </w:style>
  <w:style w:type="character" w:styleId="Numrodepage">
    <w:name w:val="page number"/>
    <w:basedOn w:val="Policepardfaut"/>
    <w:uiPriority w:val="99"/>
    <w:semiHidden/>
    <w:rsid w:val="009D4424"/>
  </w:style>
  <w:style w:type="character" w:styleId="Lienhypertextesuivivisit">
    <w:name w:val="FollowedHyperlink"/>
    <w:basedOn w:val="Policepardfaut"/>
    <w:uiPriority w:val="99"/>
    <w:semiHidden/>
    <w:rsid w:val="00F7653D"/>
    <w:rPr>
      <w:color w:val="00428B" w:themeColor="followedHyperlink"/>
      <w:u w:val="single"/>
    </w:rPr>
  </w:style>
  <w:style w:type="character" w:styleId="lev">
    <w:name w:val="Strong"/>
    <w:basedOn w:val="Policepardfaut"/>
    <w:uiPriority w:val="22"/>
    <w:qFormat/>
    <w:rsid w:val="00134061"/>
    <w:rPr>
      <w:b/>
      <w:bCs/>
    </w:rPr>
  </w:style>
  <w:style w:type="character" w:customStyle="1" w:styleId="apple-converted-space">
    <w:name w:val="apple-converted-space"/>
    <w:basedOn w:val="Policepardfaut"/>
    <w:rsid w:val="00134061"/>
  </w:style>
  <w:style w:type="character" w:customStyle="1" w:styleId="Titre3Car">
    <w:name w:val="Titre 3 Car"/>
    <w:basedOn w:val="Policepardfaut"/>
    <w:link w:val="Titre3"/>
    <w:uiPriority w:val="9"/>
    <w:rsid w:val="005F4DAA"/>
    <w:rPr>
      <w:rFonts w:ascii="Times New Roman" w:eastAsia="Times New Roman" w:hAnsi="Times New Roman" w:cs="Times New Roman"/>
      <w:b/>
      <w:bCs/>
      <w:sz w:val="27"/>
      <w:szCs w:val="27"/>
      <w:lang w:eastAsia="fr-FR"/>
    </w:rPr>
  </w:style>
  <w:style w:type="character" w:customStyle="1" w:styleId="italique">
    <w:name w:val="italique"/>
    <w:basedOn w:val="Policepardfaut"/>
    <w:rsid w:val="008832EC"/>
  </w:style>
  <w:style w:type="paragraph" w:customStyle="1" w:styleId="p1">
    <w:name w:val="p1"/>
    <w:basedOn w:val="Normal"/>
    <w:rsid w:val="00AB40A3"/>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rsid w:val="00183B00"/>
    <w:rPr>
      <w:rFonts w:ascii="Times New Roman" w:hAnsi="Times New Roman" w:cs="Times New Roman"/>
      <w:sz w:val="24"/>
      <w:szCs w:val="24"/>
    </w:rPr>
  </w:style>
  <w:style w:type="paragraph" w:styleId="Rvision">
    <w:name w:val="Revision"/>
    <w:hidden/>
    <w:uiPriority w:val="99"/>
    <w:semiHidden/>
    <w:rsid w:val="00EC33B4"/>
    <w:rPr>
      <w:sz w:val="22"/>
    </w:rPr>
  </w:style>
  <w:style w:type="paragraph" w:styleId="Paragraphedeliste">
    <w:name w:val="List Paragraph"/>
    <w:basedOn w:val="Normal"/>
    <w:uiPriority w:val="34"/>
    <w:semiHidden/>
    <w:qFormat/>
    <w:rsid w:val="00C04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89810">
      <w:bodyDiv w:val="1"/>
      <w:marLeft w:val="0"/>
      <w:marRight w:val="0"/>
      <w:marTop w:val="0"/>
      <w:marBottom w:val="0"/>
      <w:divBdr>
        <w:top w:val="none" w:sz="0" w:space="0" w:color="auto"/>
        <w:left w:val="none" w:sz="0" w:space="0" w:color="auto"/>
        <w:bottom w:val="none" w:sz="0" w:space="0" w:color="auto"/>
        <w:right w:val="none" w:sz="0" w:space="0" w:color="auto"/>
      </w:divBdr>
    </w:div>
    <w:div w:id="1260530613">
      <w:bodyDiv w:val="1"/>
      <w:marLeft w:val="0"/>
      <w:marRight w:val="0"/>
      <w:marTop w:val="0"/>
      <w:marBottom w:val="0"/>
      <w:divBdr>
        <w:top w:val="none" w:sz="0" w:space="0" w:color="auto"/>
        <w:left w:val="none" w:sz="0" w:space="0" w:color="auto"/>
        <w:bottom w:val="none" w:sz="0" w:space="0" w:color="auto"/>
        <w:right w:val="none" w:sz="0" w:space="0" w:color="auto"/>
      </w:divBdr>
    </w:div>
    <w:div w:id="15368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ci.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dia.relations@vinc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Vinci">
      <a:dk1>
        <a:srgbClr val="000000"/>
      </a:dk1>
      <a:lt1>
        <a:sysClr val="window" lastClr="FFFFFF"/>
      </a:lt1>
      <a:dk2>
        <a:srgbClr val="004489"/>
      </a:dk2>
      <a:lt2>
        <a:srgbClr val="F0F0F0"/>
      </a:lt2>
      <a:accent1>
        <a:srgbClr val="E5001A"/>
      </a:accent1>
      <a:accent2>
        <a:srgbClr val="2A77FF"/>
      </a:accent2>
      <a:accent3>
        <a:srgbClr val="00428B"/>
      </a:accent3>
      <a:accent4>
        <a:srgbClr val="F2F2F2"/>
      </a:accent4>
      <a:accent5>
        <a:srgbClr val="F2F2F2"/>
      </a:accent5>
      <a:accent6>
        <a:srgbClr val="F2F2F2"/>
      </a:accent6>
      <a:hlink>
        <a:srgbClr val="00428B"/>
      </a:hlink>
      <a:folHlink>
        <a:srgbClr val="00428B"/>
      </a:folHlink>
    </a:clrScheme>
    <a:fontScheme name="Vinci_Polices">
      <a:majorFont>
        <a:latin typeface="Vinci Sans Medium"/>
        <a:ea typeface=""/>
        <a:cs typeface=""/>
      </a:majorFont>
      <a:minorFont>
        <a:latin typeface="Vinci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1FF17235FC384C8D6214CE0DCCA48B" ma:contentTypeVersion="14" ma:contentTypeDescription="Crée un document." ma:contentTypeScope="" ma:versionID="c6b6d0aba4d0a335f93c9b6819cba482">
  <xsd:schema xmlns:xsd="http://www.w3.org/2001/XMLSchema" xmlns:xs="http://www.w3.org/2001/XMLSchema" xmlns:p="http://schemas.microsoft.com/office/2006/metadata/properties" xmlns:ns2="460d7a67-bdb2-4d29-8c0f-5d82710cb5d1" xmlns:ns3="5de48b46-d5aa-4eba-ad7d-cbdb595f22b4" targetNamespace="http://schemas.microsoft.com/office/2006/metadata/properties" ma:root="true" ma:fieldsID="3ee7c980d3c5544f25afc424d4af3f93" ns2:_="" ns3:_="">
    <xsd:import namespace="460d7a67-bdb2-4d29-8c0f-5d82710cb5d1"/>
    <xsd:import namespace="5de48b46-d5aa-4eba-ad7d-cbdb595f2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d7a67-bdb2-4d29-8c0f-5d82710c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48b46-d5aa-4eba-ad7d-cbdb595f2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0617db-acfd-4824-b40b-25bea21517f8}" ma:internalName="TaxCatchAll" ma:showField="CatchAllData" ma:web="5de48b46-d5aa-4eba-ad7d-cbdb595f2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DEB17-60F0-47CB-A538-CC778680F166}">
  <ds:schemaRefs>
    <ds:schemaRef ds:uri="http://schemas.microsoft.com/sharepoint/v3/contenttype/forms"/>
  </ds:schemaRefs>
</ds:datastoreItem>
</file>

<file path=customXml/itemProps2.xml><?xml version="1.0" encoding="utf-8"?>
<ds:datastoreItem xmlns:ds="http://schemas.openxmlformats.org/officeDocument/2006/customXml" ds:itemID="{6B2118FA-6357-47EA-9C59-6099C0EB78CF}">
  <ds:schemaRefs>
    <ds:schemaRef ds:uri="http://schemas.openxmlformats.org/officeDocument/2006/bibliography"/>
  </ds:schemaRefs>
</ds:datastoreItem>
</file>

<file path=customXml/itemProps3.xml><?xml version="1.0" encoding="utf-8"?>
<ds:datastoreItem xmlns:ds="http://schemas.openxmlformats.org/officeDocument/2006/customXml" ds:itemID="{704AFF6C-843E-492C-9C65-6F7ABD8B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d7a67-bdb2-4d29-8c0f-5d82710cb5d1"/>
    <ds:schemaRef ds:uri="5de48b46-d5aa-4eba-ad7d-cbdb595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731832-40da-4546-9203-f68390800051}" enabled="0" method="" siteId="{98731832-40da-4546-9203-f6839080005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2589</Characters>
  <Application>Microsoft Office Word</Application>
  <DocSecurity>0</DocSecurity>
  <Lines>50</Lines>
  <Paragraphs>17</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VINCI</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Microsoft Office User</dc:creator>
  <cp:keywords/>
  <dc:description/>
  <cp:lastModifiedBy>MALEK Stephanie</cp:lastModifiedBy>
  <cp:revision>6</cp:revision>
  <cp:lastPrinted>2026-04-07T08:17:00Z</cp:lastPrinted>
  <dcterms:created xsi:type="dcterms:W3CDTF">2026-04-07T08:17:00Z</dcterms:created>
  <dcterms:modified xsi:type="dcterms:W3CDTF">2026-04-09T13:52:00Z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0x0101000F1FF17235FC384C8D6214CE0DCCA48B</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